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1FD9" w14:textId="77777777" w:rsidR="003531B3" w:rsidRPr="003531B3" w:rsidRDefault="003531B3" w:rsidP="003531B3">
      <w:pPr>
        <w:widowControl w:val="0"/>
        <w:autoSpaceDE w:val="0"/>
        <w:autoSpaceDN w:val="0"/>
        <w:spacing w:before="69" w:after="0" w:line="322" w:lineRule="exact"/>
        <w:ind w:left="1041" w:right="2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Херсонський </w:t>
      </w:r>
      <w:r w:rsidRPr="003531B3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інститут</w:t>
      </w:r>
    </w:p>
    <w:p w14:paraId="74D1C9E8" w14:textId="77777777" w:rsidR="003531B3" w:rsidRPr="003531B3" w:rsidRDefault="003531B3" w:rsidP="003531B3">
      <w:pPr>
        <w:widowControl w:val="0"/>
        <w:autoSpaceDE w:val="0"/>
        <w:autoSpaceDN w:val="0"/>
        <w:spacing w:after="0" w:line="322" w:lineRule="exact"/>
        <w:ind w:left="1033" w:right="20"/>
        <w:jc w:val="center"/>
        <w:outlineLvl w:val="1"/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</w:pP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Приватного</w:t>
      </w:r>
      <w:r w:rsidRPr="003531B3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акціонерного</w:t>
      </w:r>
      <w:r w:rsidRPr="003531B3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товариства</w:t>
      </w:r>
      <w:r w:rsidRPr="003531B3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</w:p>
    <w:p w14:paraId="2F3BAFB6" w14:textId="77777777" w:rsidR="003531B3" w:rsidRPr="003531B3" w:rsidRDefault="003531B3" w:rsidP="003531B3">
      <w:pPr>
        <w:widowControl w:val="0"/>
        <w:autoSpaceDE w:val="0"/>
        <w:autoSpaceDN w:val="0"/>
        <w:spacing w:after="0" w:line="322" w:lineRule="exact"/>
        <w:ind w:left="1033" w:right="2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«Вищий</w:t>
      </w:r>
      <w:r w:rsidRPr="003531B3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навчальний</w:t>
      </w:r>
      <w:r w:rsidRPr="003531B3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заклад</w:t>
      </w:r>
    </w:p>
    <w:p w14:paraId="1FD09849" w14:textId="77777777" w:rsidR="003531B3" w:rsidRPr="003531B3" w:rsidRDefault="003531B3" w:rsidP="003531B3">
      <w:pPr>
        <w:widowControl w:val="0"/>
        <w:autoSpaceDE w:val="0"/>
        <w:autoSpaceDN w:val="0"/>
        <w:spacing w:after="0" w:line="240" w:lineRule="auto"/>
        <w:ind w:left="30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«Міжрегіональна</w:t>
      </w:r>
      <w:r w:rsidRPr="003531B3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академія</w:t>
      </w:r>
      <w:r w:rsidRPr="003531B3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управління</w:t>
      </w:r>
      <w:r w:rsidRPr="003531B3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3531B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персоналом»</w:t>
      </w:r>
    </w:p>
    <w:p w14:paraId="206EE0B8" w14:textId="77777777" w:rsidR="003531B3" w:rsidRPr="003531B3" w:rsidRDefault="003531B3" w:rsidP="003531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13CB21E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D3E498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1C49A4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174C81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913518" w14:textId="24C26CA7" w:rsidR="00094853" w:rsidRPr="00094853" w:rsidRDefault="00094853" w:rsidP="00094853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ЗАТВЕРДЖЕНО</w:t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</w:t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ЗАТВЕРДЖЕНО</w:t>
      </w:r>
      <w:proofErr w:type="spellEnd"/>
    </w:p>
    <w:p w14:paraId="19AEC385" w14:textId="2688481C" w:rsidR="00094853" w:rsidRPr="00094853" w:rsidRDefault="00094853" w:rsidP="00094853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Рішенням Вченої Ради</w:t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         Директор </w:t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ХІ ПрАТ «ВНЗ «МАУП»                                   </w:t>
      </w:r>
    </w:p>
    <w:p w14:paraId="608F8B13" w14:textId="088C29B0" w:rsidR="00094853" w:rsidRPr="00094853" w:rsidRDefault="00094853" w:rsidP="00094853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ХІ ПрАТ «ВНЗ «МАУП»                             </w:t>
      </w:r>
    </w:p>
    <w:p w14:paraId="7DD735DC" w14:textId="4F2E8B7C" w:rsidR="00094853" w:rsidRPr="00094853" w:rsidRDefault="00094853" w:rsidP="00094853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29.09.2022р.</w:t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     </w:t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________ </w:t>
      </w:r>
      <w:proofErr w:type="spellStart"/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Петричук</w:t>
      </w:r>
      <w:proofErr w:type="spellEnd"/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С.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І.</w:t>
      </w:r>
    </w:p>
    <w:p w14:paraId="443A3095" w14:textId="4E9898EA" w:rsidR="00094853" w:rsidRPr="00094853" w:rsidRDefault="00094853" w:rsidP="00094853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  <w:t xml:space="preserve"> 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30</w:t>
      </w: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» серпня 2022 р</w:t>
      </w:r>
    </w:p>
    <w:p w14:paraId="7556F989" w14:textId="007CCB87" w:rsidR="00F45AC1" w:rsidRDefault="00094853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8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</w:t>
      </w:r>
    </w:p>
    <w:p w14:paraId="0DAB583D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1368A2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CD9DF9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9D3038" w14:textId="77777777" w:rsidR="00F45AC1" w:rsidRDefault="00F45AC1" w:rsidP="00F45A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6F46C7" w14:textId="253202AB" w:rsidR="00F45AC1" w:rsidRPr="00F45AC1" w:rsidRDefault="00F45AC1" w:rsidP="00094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AC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4511E5E9" w14:textId="4B2C4D20" w:rsidR="00F45AC1" w:rsidRPr="00F45AC1" w:rsidRDefault="00F45AC1" w:rsidP="00094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AC1">
        <w:rPr>
          <w:rFonts w:ascii="Times New Roman" w:hAnsi="Times New Roman" w:cs="Times New Roman"/>
          <w:b/>
          <w:bCs/>
          <w:sz w:val="28"/>
          <w:szCs w:val="28"/>
        </w:rPr>
        <w:t>про кафедру менеджменту</w:t>
      </w:r>
      <w:r w:rsidR="006D0752" w:rsidRPr="006D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752" w:rsidRPr="00F45AC1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6D0752"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D0752" w:rsidRPr="00F45AC1"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 w:rsidR="006D0752"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1177D6" w14:textId="77777777" w:rsidR="00F45AC1" w:rsidRPr="00F45AC1" w:rsidRDefault="00F45AC1" w:rsidP="00094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AC1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Херсонського інституту</w:t>
      </w:r>
      <w:r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Приватного </w:t>
      </w:r>
      <w:proofErr w:type="spellStart"/>
      <w:r w:rsidRPr="00F45AC1">
        <w:rPr>
          <w:rFonts w:ascii="Times New Roman" w:hAnsi="Times New Roman" w:cs="Times New Roman"/>
          <w:b/>
          <w:bCs/>
          <w:sz w:val="28"/>
          <w:szCs w:val="28"/>
        </w:rPr>
        <w:t>акціонерного</w:t>
      </w:r>
      <w:proofErr w:type="spellEnd"/>
    </w:p>
    <w:p w14:paraId="4654B900" w14:textId="0A845FCE" w:rsidR="00F45AC1" w:rsidRPr="00F45AC1" w:rsidRDefault="00F45AC1" w:rsidP="00094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45AC1">
        <w:rPr>
          <w:rFonts w:ascii="Times New Roman" w:hAnsi="Times New Roman" w:cs="Times New Roman"/>
          <w:b/>
          <w:bCs/>
          <w:sz w:val="28"/>
          <w:szCs w:val="28"/>
        </w:rPr>
        <w:t>товариства</w:t>
      </w:r>
      <w:proofErr w:type="spellEnd"/>
      <w:r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45AC1">
        <w:rPr>
          <w:rFonts w:ascii="Times New Roman" w:hAnsi="Times New Roman" w:cs="Times New Roman"/>
          <w:b/>
          <w:bCs/>
          <w:sz w:val="28"/>
          <w:szCs w:val="28"/>
        </w:rPr>
        <w:t>Вищий</w:t>
      </w:r>
      <w:proofErr w:type="spellEnd"/>
      <w:r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5AC1">
        <w:rPr>
          <w:rFonts w:ascii="Times New Roman" w:hAnsi="Times New Roman" w:cs="Times New Roman"/>
          <w:b/>
          <w:bCs/>
          <w:sz w:val="28"/>
          <w:szCs w:val="28"/>
        </w:rPr>
        <w:t>навчальний</w:t>
      </w:r>
      <w:proofErr w:type="spellEnd"/>
      <w:r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заклад</w:t>
      </w:r>
    </w:p>
    <w:p w14:paraId="76710978" w14:textId="51DA7F5B" w:rsidR="00F45AC1" w:rsidRPr="00F45AC1" w:rsidRDefault="00F45AC1" w:rsidP="00094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AC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45AC1">
        <w:rPr>
          <w:rFonts w:ascii="Times New Roman" w:hAnsi="Times New Roman" w:cs="Times New Roman"/>
          <w:b/>
          <w:bCs/>
          <w:sz w:val="28"/>
          <w:szCs w:val="28"/>
        </w:rPr>
        <w:t>Міжрегіональна</w:t>
      </w:r>
      <w:proofErr w:type="spellEnd"/>
      <w:r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5AC1">
        <w:rPr>
          <w:rFonts w:ascii="Times New Roman" w:hAnsi="Times New Roman" w:cs="Times New Roman"/>
          <w:b/>
          <w:bCs/>
          <w:sz w:val="28"/>
          <w:szCs w:val="28"/>
        </w:rPr>
        <w:t>Академія</w:t>
      </w:r>
      <w:proofErr w:type="spellEnd"/>
      <w:r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5AC1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F45AC1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персоналом»</w:t>
      </w:r>
    </w:p>
    <w:p w14:paraId="34EEC812" w14:textId="284A54E3" w:rsidR="00F45AC1" w:rsidRDefault="00F45AC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75737" w14:textId="1CC9AF27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11A4D" w14:textId="426AB91D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C6FC5" w14:textId="76689F72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9D22D" w14:textId="41C0C244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99434" w14:textId="0DE75F24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9B02A" w14:textId="4027E4B2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D454D" w14:textId="41D86B85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3D2D" w14:textId="6739D7AA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37950" w14:textId="5321C2C2" w:rsidR="00094853" w:rsidRDefault="00094853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97E5E" w14:textId="4D7EEDC2" w:rsidR="00094853" w:rsidRPr="00094853" w:rsidRDefault="00094853" w:rsidP="00094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- 2022</w:t>
      </w:r>
    </w:p>
    <w:p w14:paraId="7DB819AA" w14:textId="477E1788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lastRenderedPageBreak/>
        <w:t xml:space="preserve">1. Нормативна база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1ABD88D2" w14:textId="7777777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Дійсне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:</w:t>
      </w:r>
    </w:p>
    <w:p w14:paraId="6C345EDB" w14:textId="55A3F80A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- Закону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080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науково-технічну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90801">
        <w:rPr>
          <w:rFonts w:ascii="Times New Roman" w:hAnsi="Times New Roman" w:cs="Times New Roman"/>
          <w:sz w:val="28"/>
          <w:szCs w:val="28"/>
        </w:rPr>
        <w:t>;</w:t>
      </w:r>
    </w:p>
    <w:p w14:paraId="31562602" w14:textId="15FCD4F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2002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№450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080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норм часу для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переліків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інструкціями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;</w:t>
      </w:r>
    </w:p>
    <w:p w14:paraId="33E3D8D2" w14:textId="7B19ADA4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Статуту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Міжрегіональної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Персоналом: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«ВНЗ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>«МАУП»;</w:t>
      </w:r>
    </w:p>
    <w:p w14:paraId="618CC8D3" w14:textId="5325C77D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планами,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інструкціями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наказами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рад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14:paraId="710127FB" w14:textId="7777777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</w:p>
    <w:p w14:paraId="2C377305" w14:textId="55EBD01F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2.1. Кафедра -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структурний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A2852BD" w14:textId="302AF192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2.2.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складу входить не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кафедра є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і не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як 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з них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0DB3B95" w14:textId="33A19180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ухвалюється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ради </w:t>
      </w:r>
      <w:bookmarkStart w:id="0" w:name="_Hlk192005437"/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bookmarkEnd w:id="0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затверждується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>директора.</w:t>
      </w:r>
    </w:p>
    <w:p w14:paraId="09446CC1" w14:textId="6EE2B1C3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2.4.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 Статуту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дійсного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 Кафедра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підпорядковується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50A7E377" w14:textId="43E3A94D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lastRenderedPageBreak/>
        <w:t xml:space="preserve">2.5. Робота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25DC7A9E" w14:textId="56C5211E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2.6. Контроль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навчально-методичної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676F6EBF" w14:textId="75412A58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підпорядкована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головному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завданню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Вся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підпорядкована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максимальних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4D7B8CE3" w14:textId="1FF2F1C2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2.8.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чинному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Статуту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6EFA64D1" w14:textId="6E05E3C6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2.9. За кафедрою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закріпляються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організовуються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кабінети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CA555FD" w14:textId="6EF295AB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меблями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(партами, столами,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стільцями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шафами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комп'ютерною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канцелярсько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норм.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за кафедрою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; вони не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вилучені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передані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те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DE08F2C" w14:textId="7777777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3. Склад і структура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F7A4D87" w14:textId="40D93E2A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Науково-педагогичний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професорів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доцентів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старших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Посади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займати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ступень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ступень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вакантних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укладенню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договору (контракту),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конкурс, порядок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закладу.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наявними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штатними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вакантні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заміщуватись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договором 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посад у поточному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lastRenderedPageBreak/>
        <w:t>навчальному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навчальнодопоміжного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видносять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D274824" w14:textId="24E5438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директором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наказу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штатного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фонд оплати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Структура,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академією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співвідношенн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B908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характеру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планами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2CC2D392" w14:textId="12EC1995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3.3.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навчально-методичні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кабінети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1E8374D" w14:textId="7DDE33E5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3.4. Склад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штатні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) і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сумісництвом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4952D3E9" w14:textId="4E8B2F8C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правами,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Права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інструкціями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9987BF9" w14:textId="7777777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кафедрою</w:t>
      </w:r>
    </w:p>
    <w:p w14:paraId="6754D852" w14:textId="405924F2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як два строки.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повинен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конкурсом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таємним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завідуючий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наказом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CFBBCBF" w14:textId="76371DEC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контракт.</w:t>
      </w:r>
    </w:p>
    <w:p w14:paraId="1C22875F" w14:textId="21C9ED83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иконання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навчальнометодичною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виховною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750CF3D" w14:textId="4CEDF561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Завідуючий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48AF46D" w14:textId="48E76563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посаду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завідуючий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кафедрою робить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кафедроюі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про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виборний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6B550378" w14:textId="4284FEF6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Завідуючий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посади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6A056232" w14:textId="3E28ED59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посади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завідуючого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кафедрою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рада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директора про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посади.</w:t>
      </w:r>
    </w:p>
    <w:p w14:paraId="4DC9CE61" w14:textId="3B01AEB2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4.7. План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18F7161E" w14:textId="07D0C069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4.8.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обговорюються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участь весь склад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192C0A1" w14:textId="7786BACF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4.9.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1-2-х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протоколом.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легітимним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2/3 складу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D4304B9" w14:textId="1787EC76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4.10.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проголосувало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8F1C89D" w14:textId="66D7BD44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4.11.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конструктивність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обговорень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конкретність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підписують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завідуючий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кафедрою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номенклатурі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архів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послідуючого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CEBE404" w14:textId="77777777" w:rsid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687BD" w14:textId="2340CFD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lastRenderedPageBreak/>
        <w:t xml:space="preserve">5.1.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навчально-методичне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вибіркових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безперервне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провідної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прищеплення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42144223" w14:textId="6A82CC03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4EC6300" w14:textId="4FE2C9E1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5.2.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науковопедагогічних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молодим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викладачам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опануванні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майстерністю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A15B005" w14:textId="2DB73CBE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5.3.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науково-теоретичний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майстер-класів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майстерень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рецензують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інституту.</w:t>
      </w:r>
    </w:p>
    <w:p w14:paraId="5391BA10" w14:textId="54CE4E15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видають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науково-методичних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Scopus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58B5674F" w14:textId="20A7A8EE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5.5.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професійними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компетенціями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Управляє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підготовкою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перед студентами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науково-педагогічними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складом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593B460B" w14:textId="08157A3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5.6.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науково-педагогичні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 1 раз у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вибірково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проводить контроль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51FAF34E" w14:textId="7777777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lastRenderedPageBreak/>
        <w:t xml:space="preserve">5.7. Кафедра веде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82E79EB" w14:textId="57A1DF01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5.8.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заходах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та проводить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1D7EFE59" w14:textId="0F3D9FE9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5.9.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акредитацію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ліцензованого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2BF0604B" w14:textId="21A84A2E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5.10.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3FAAED6B" w14:textId="7777777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6. Права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416A6F41" w14:textId="3E327655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проявляються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через права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завідувачів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0B055B10" w14:textId="39B89743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обговорюються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07CAB11" w14:textId="569A995E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Затверджувати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календарні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екзаменаційні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білети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Розподіляти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своєчасність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занять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0A7286EA" w14:textId="02EFCDFC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вакантні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директору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роботу,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морального та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77A32BF" w14:textId="76DB5BEA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служб 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соціально-побутових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забезпечували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навчально-методичної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AD4364E" w14:textId="4AD29880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6.5.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2BE7EE3C" w14:textId="2E02DE46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6.6.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запчастин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BAB2C70" w14:textId="47017000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</w:p>
    <w:p w14:paraId="017A2DE8" w14:textId="6722F1C6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lastRenderedPageBreak/>
        <w:t xml:space="preserve">7.1.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кафедрами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виявленням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логічних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обміном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дослідженнями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культурномасових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студентами.</w:t>
      </w:r>
    </w:p>
    <w:p w14:paraId="7BC4A3B3" w14:textId="5CFB3243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7.2. З директором 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плануванням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студентами,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у 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підзвітністю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555E706D" w14:textId="18A647A5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7.3.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службами 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B90801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230BE38F" w14:textId="77777777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</w:p>
    <w:p w14:paraId="33CD6BCD" w14:textId="1DC1FCB0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навчально-допоміжного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персоналу.</w:t>
      </w:r>
    </w:p>
    <w:p w14:paraId="167A0E6F" w14:textId="6246DFF5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строго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в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03B7844" w14:textId="5F6B431F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особисту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кафедру в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навчальнометодичної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обстановки в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штатної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 правил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протипожежної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закріплених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кафедрою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майна і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18E7C4EE" w14:textId="6121A828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8.3.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0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невикористання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прав до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заходи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4D046F4F" w14:textId="6876DF43" w:rsidR="00B90801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8.4.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допоміжного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, правилами</w:t>
      </w:r>
      <w:r w:rsidR="003A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інструкціями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p w14:paraId="7BD9B5D6" w14:textId="3E2F1153" w:rsidR="00077B92" w:rsidRPr="00B90801" w:rsidRDefault="00B90801" w:rsidP="00B90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01">
        <w:rPr>
          <w:rFonts w:ascii="Times New Roman" w:hAnsi="Times New Roman" w:cs="Times New Roman"/>
          <w:sz w:val="28"/>
          <w:szCs w:val="28"/>
        </w:rPr>
        <w:t xml:space="preserve">8.5. Кафедра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01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B90801">
        <w:rPr>
          <w:rFonts w:ascii="Times New Roman" w:hAnsi="Times New Roman" w:cs="Times New Roman"/>
          <w:sz w:val="28"/>
          <w:szCs w:val="28"/>
        </w:rPr>
        <w:t>.</w:t>
      </w:r>
    </w:p>
    <w:sectPr w:rsidR="00077B92" w:rsidRPr="00B9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2"/>
    <w:rsid w:val="00077B92"/>
    <w:rsid w:val="00094853"/>
    <w:rsid w:val="00202E52"/>
    <w:rsid w:val="003531B3"/>
    <w:rsid w:val="003A3984"/>
    <w:rsid w:val="006D0752"/>
    <w:rsid w:val="00B90801"/>
    <w:rsid w:val="00D404FA"/>
    <w:rsid w:val="00F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75B2"/>
  <w15:chartTrackingRefBased/>
  <w15:docId w15:val="{E17D6BA0-C8AD-479E-A848-4C8CDAD8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14</cp:revision>
  <dcterms:created xsi:type="dcterms:W3CDTF">2025-03-04T16:26:00Z</dcterms:created>
  <dcterms:modified xsi:type="dcterms:W3CDTF">2025-03-06T14:32:00Z</dcterms:modified>
</cp:coreProperties>
</file>